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C1" w:rsidRDefault="008B70C1">
      <w:r>
        <w:t>от 21.12.2021</w:t>
      </w:r>
    </w:p>
    <w:p w:rsidR="008B70C1" w:rsidRDefault="008B70C1"/>
    <w:p w:rsidR="008B70C1" w:rsidRDefault="008B70C1">
      <w:r>
        <w:t>Решили: избрать Алхимченко Михаила Васильевича председателем и секретарем заседания Совета.</w:t>
      </w:r>
    </w:p>
    <w:p w:rsidR="008B70C1" w:rsidRDefault="008B70C1"/>
    <w:p w:rsidR="008B70C1" w:rsidRDefault="008B70C1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8B70C1" w:rsidRDefault="008B70C1">
      <w:r>
        <w:t>Общество с ограниченной ответственностью «Стройком» ИНН 6312210477</w:t>
      </w:r>
    </w:p>
    <w:p w:rsidR="008B70C1" w:rsidRDefault="008B70C1"/>
    <w:p w:rsidR="008B70C1" w:rsidRDefault="008B70C1"/>
    <w:p w:rsidR="008B70C1" w:rsidRDefault="008B70C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B70C1"/>
    <w:rsid w:val="00045D12"/>
    <w:rsid w:val="0052439B"/>
    <w:rsid w:val="008B70C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